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7 vom 2. April 2024</w:t>
      </w:r>
    </w:p>
    <w:p>
      <w:r>
        <w:t>GR Gerichte, 2024-04-02, DE</w:t>
      </w:r>
    </w:p>
    <w:p>
      <w:r>
        <w:rPr>
          <w:b/>
        </w:rPr>
        <w:t xml:space="preserve">Quelle: </w:t>
      </w:r>
      <w:r>
        <w:t>https://mcp.opencaselaw.ch/entscheid/gr_gerichte_ZK2 2024 7</w:t>
      </w:r>
    </w:p>
    <w:p>
      <w:r>
        <w:t>FR: GR_GERICHTE ZK2 2024 7 du 2 avril 2024</w:t>
      </w:r>
    </w:p>
    <w:p>
      <w:r>
        <w:t>IT: GR_GERICHTE ZK2 2024 7 del 2 aprile 2024</w:t>
      </w:r>
    </w:p>
    <w:p>
      <w:pPr>
        <w:pStyle w:val="Heading2"/>
      </w:pPr>
      <w:r>
        <w:t>Regeste</w:t>
      </w:r>
    </w:p>
    <w:p>
      <w:r>
        <w:t>Rechtsschutz in klaren Fällen nach Art. 257 ZPO (Mieterausweisung) | OR 253-273c Miete</w:t>
      </w:r>
    </w:p>
    <w:p>
      <w:pPr>
        <w:pStyle w:val="Heading2"/>
      </w:pPr>
      <w:r>
        <w:t>Erwägungen</w:t>
      </w:r>
    </w:p>
    <w:p>
      <w:r>
        <w:rPr>
          <w:b/>
        </w:rPr>
        <w:t>E. 4</w:t>
      </w:r>
    </w:p>
    <w:p>
      <w:r>
        <w:t>/ 9 Abs. 2 ZPO). Der angefochtene Entscheid enthält keine Angaben zum Streitwert. Das Bundesgericht hat in BGE 144 III 346 einheitliche Regeln für die Streitwertbe- rechnung bei Ausweisungsklagen im Rechtsschutz in klaren Fällen aufgestellt. Danach ist zu unterscheiden, ob nur die Ausweisung aus dem Mietobjekt als sol- che oder ob vorfrageweise auch die Kündigung des Mietvertrages streitig ist. Im (vorliegend einschlägigen) ersteren Fall besteht das wirtschaftliche Interesse der Parteien im Mietwert, der durch die Verzögerung infolge des Summarverfahrens entsteht. Diesbezüglich ist unabhängig von allfälligen kantonalen Unterschieden in der tatsächlichen Bewältigung solcher Summarverfahren von einer Dauer von sechs Monaten auszugehen (BGE 144 III 346 E. 1.2.1; BGer 4A_346/2022 v. 1.11.2022 E. 2.2). Bei einem aktuellen monatlichen Mietzins von CHF 1'600.00 (RG act. II.1.2) beläuft sich der Streitwert vorliegend auf CHF 9'600.00 und liegt mithin unter der Streitwertgrenze von CHF 10'000.00. Damit ist das Rechtsmittel der Beschwerde zulässig. 1.2. Bei einem im summarischen Verfahren ergangenen Entscheid, wozu solche betreffend Rechtsschutz in klaren Fällen gehören (Art. 248 lit. b ZPO), beträgt die Rechtsmittelfrist 10 Tage (Art. 321 Abs. 2 ZPO). Der angefochtene Entscheid ging der Beschwerdeführerin am 16. März 2024 zu (RG act. IV.7-8). Die Eingabe vom 23. März 2024 (Datum Eingang: 26. März 2024; act. A.1) erfolgte damit fristge- recht. Lediglich der Vollständigkeit halber ist festzuhalten, dass das vorfrankierte Couvert, welches die Beschwerdeführerin verwendete, keinen Nachweis in Bezug auf den massgeblichen Poststempel erlaubt. Da die Beschwerdefrist aber mit Ein- gang am 26. März 2024 ohnehin gewahrt ist, braucht darauf nicht näher einge- gangen zu werden (vgl. Art. 142 Abs. 1 und 145 Abs. 2 lit. b ZPO). 2.1. Die Beschwerde ist schriftlich und begründet einzureichen (vgl. Art. 321 Abs. 1 ZPO). Sie hat konkrete Rechtsbegehren zu enthalten, aus denen hervor- geht, in welchem Umfang der vorinstanzliche Entscheid angefochten wird. Na- mentlich ist bestimmt zu erklären, welche Änderungen im Dispositiv des angefoch- tenen Entscheids verlangt werden. Alsdann ist in der Begründung darzulegen, aus welchen Gründen der angefochtene Entscheid falsch ist und deshalb abgeändert werden muss. Die Begründung hat sich mit dem angefochtenen Entscheid und den darin enthaltenen Erwägungen sachbezogen auseinanderzusetzen (vgl. Die- ter Freiburghaus/Susanne Afheldt, in: Sutter-Somm/Hasenböhler/Leuenberger [Hrsg.], Kommentar zur Schweizerischen Zivilprozessordnung, 3. Aufl., Zürich 2016, N 14 f. zu Art. 321 ZPO; Ivo W. Hungerbühler/Manuel Bucher, in: Brun- ner/Gasser/Schwander [Hrsg.], Schweizerische Zivilprozessordnung, Kommentar,</w:t>
      </w:r>
    </w:p>
    <w:p>
      <w:r>
        <w:rPr>
          <w:b/>
        </w:rPr>
        <w:t>E. 4.1</w:t>
      </w:r>
    </w:p>
    <w:p>
      <w:r>
        <w:t>Im Übrigen wäre die Beschwerde, selbst wenn auf sie eingetreten werden könnte, abzuweisen. Die Beschwerdeführerin bringt vor Kantonsgericht erstmals vor, mehr Zeit für die Räumung der Wohnung zu benötigen. Im erstinstanzlichen Verfahren liess sie sich nicht vernehmen (act. E.1; RG act. IV.2-6). Damit handelt es sich um unzulässige neue Vorbringen im Rechtsmittelverfahren (vgl. Art. 326 Abs. 1 ZPO; vorstehend E. 2.2).</w:t>
      </w:r>
    </w:p>
    <w:p>
      <w:r>
        <w:rPr>
          <w:b/>
        </w:rPr>
        <w:t>E. 4.2</w:t>
      </w:r>
    </w:p>
    <w:p>
      <w:r>
        <w:t>Dass die Kündigung unwirksam oder nichtig sei, bringt die Beschwerdefüh- rerin zu Recht nicht vor (vgl. act. A.1). Die Beschwerdegegnerin setzte der Be- schwerdeführerin aufgrund des Ausstands der gemäss Mietvertrag monatlich zum Voraus zu leistenden Mietzinse für die Monate August und September 2023 von je CHF 1'600.00, insgesamt CHF 3'200.00, mit Einschreiben vom 6. September 2023 eine Zahlungsfrist von 30 Tagen und drohte ihr an, dass bei unbenütztem Ablauf dieser Frist das Mietverhältnis ausserordentlich gekündigt werde (RG act. II.1.4). Diese Mahnung mit Kündigungsandrohung wurde der Beschwerdeführerin am</w:t>
      </w:r>
    </w:p>
    <w:p>
      <w:r>
        <w:rPr>
          <w:b/>
        </w:rPr>
        <w:t>E. 4.3</w:t>
      </w:r>
    </w:p>
    <w:p>
      <w:r>
        <w:t>Schliesslich hätte die Beschwerdeführerin auch keinen Anspruch auf die Einräumung einer längeren Frist gehabt (vgl. act. A.1). Ein Begehren um Erstre- ckung des Mietverhältnisses hat der Mieter 30 Tage nach Empfang der Kündigung bei der Schlichtungsbehörde einzureichen (Art. 273 Abs. 2 lit. a OR). Dabei han- delt es sich um eine Verwirkungsfrist, welche weder erstreckbar ist noch wieder- hergestellt werden kann. Die Schlichtungsbehörde trat mit Verfügung vom 24. Ja- nuar 2024 auf das Schlichtungsgesuch der Beschwerdeführerin um Erstreckung infolge Säumnis derselben an der Schlichtungsverhandlung nicht ein (vgl. RG act. II.1.7-8). Am Rande: Bei Säumnis der klagenden Partei gilt das Schlichtungs- gesuch als zurückgezogen, und ist das Verfahren als gegenstandslos abzuschrei- ben (vgl. Art. 206 Abs. 1 ZPO). Am Gesagten ändert dies aber ohnehin nichts. Eine Erstreckung ist zudem bei Kündigungen wegen Zahlungsrückstand des Mie- ters – die Beschwerdeführerin bestreitet nicht die fraglichen Mietzinse nicht be- zahlt zu haben (vgl. act. A.1; vorstehend E. 3.2 f., 4.2) – ausgeschlossen (Art. 272a Abs. 1 lit. a OR).</w:t>
      </w:r>
    </w:p>
    <w:p>
      <w:r>
        <w:rPr>
          <w:b/>
        </w:rPr>
        <w:t>E. 5</w:t>
      </w:r>
    </w:p>
    <w:p>
      <w:r>
        <w:t>/ 9 2. Aufl., Zürich 2016, N 17 ff. zu Art. 321 ZPO sowie N 16 ff. und N 30 ff. zu Art. 311 ZPO). 2.2. Das Beschwerdeverfahren ist keine Fortsetzung des erstinstanzlichen Ver- fahrens, sondern bezweckt eine rechtsstaatliche Kontrolle desselben. Die Rechtsmittelinstanz hat zu prüfen, ob die Vorinstanz den ihr unterbreiteten Sach- verhalt nicht offensichtlich falsch gewürdigt und aufgrund dieses Sachverhalts das Recht korrekt angewendet hat. Dabei ist sie an die vorgebrachten Beschwerde- gründe gebunden (Botschaft zur Schweizerischen Zivilprozessordnung [ZPO] v. 28.6.2006, BBl 2006 7221 ff., S. 7379; Martin H. Sterchi, in: Hausheer/Walter [Hrsg.], Berner Kommentar zur Schweizerischen Zivilprozessordnung, Bern 2012, N 1 zu Art. 326 ZPO). Neue Anträge, neue Tatsachenbehauptungen und neue Beweismittel sind im Beschwerdeverfahren ausgeschlossen (Art. 326 ZPO). 2.3. Bei Rechtsmitteleingaben von Laien braucht es keinen formellen Antrag, sondern genügt auch eine Formulierung in der Begründung, aus der sich mit gu- tem Willen herauslesen lässt, wie die Rechtsmittelinstanz entscheiden soll. Zur Begründung reicht aus, wenn auch nur ganz rudimentär zum Ausdruck kommt, an welchen Mängeln der angefochtene Entscheid leidet resp. weshalb der angefoch- tene Entscheid nach Auffassung der beschwerdeführenden Partei unrichtig sein soll. Sind auch diese Voraussetzungen nicht gegeben, wird auf eine Beschwerde nicht eingetreten (vgl. Art. 321 Abs. 1 und 2 ZPO; Sterchi, a.a.O., N 18 und 22 zu Art. 321 ZPO). 3.1. Der Einzelrichter wies die Beschwerdeführerin mit dem angefochtenen Ent- scheid an, das Mietobjekt unverzüglich, bis spätestens am 2. April 2024, zu räu- men und zu verlassen sowie in ordnungsgemässem Zustand mit allen Schlüsseln zurückzugeben. Zusammengefasst erwog er, die Beschwerdeführerin habe die Frist für das Einreichen einer Stellungnahme ungenutzt verstreichen lassen und damit das Vorbringen der Beschwerdegegnerin nicht bestritten. Die Kündigung sei gültig erfolgt bzw. das Mietverhältnis rechtmässig aufgelöst worden. Trotz beende- tem Mietverhältnis habe die Beschwerdeführerin bis zum jetzigen Zeitpunkt das Mietobjekt nicht geräumt und der Beschwerdegegnerin zurückgegeben. Damit stehe Letzterer ein Ausweisungsanspruch zu (act. E.1; RG act. A.1). 3.2. Die Beschwerdeführerin führt mit Eingabe vom 23. März 2024 aus, sie bitte die angesetzte Frist von "bis spätestens am 2. April 2024" ein letztes Mal zu ver- längern. Sie könne ab dem 1. Juni 2024 mit ihrem Sohn in eine andere Wohnung ziehen. Derzeit sei sie dabei alles vorzubereiten, damit sie die jetzige Wohnung der Beschwerdegegnerin in einem einwandfreien Zustand verlassen könne. Es</w:t>
      </w:r>
    </w:p>
    <w:p>
      <w:r>
        <w:rPr>
          <w:b/>
        </w:rPr>
        <w:t>E. 6</w:t>
      </w:r>
    </w:p>
    <w:p>
      <w:r>
        <w:t>/ 9 würde ihr sehr helfen, wenn die Frist bis Anfang Juni 2024 verlängert werden könnte. Sie möchte ihrem Sohn noch mehr Stress ersparen als er im Moment mit den vielen Arzt- und Spitalbesuchen schon habe (act. A.1). 3.3. Mit ihren Vorbringen wendet sich die Beschwerdeführerin somit einzig ge- gen die eingeräumte Frist für die Wohnungsrückgabe (inkl. Tiefgaragenparkplatz), da sie erst ab dem 1. Juni 2024 eine neue Wohnung habe und noch alles vorbe- reiten müsse. Eine sachbezogene Auseinandersetzung mit den Erwägungen der Vorinstanz findet nicht statt. Damit sind aber mangels rechtsgenügender Begrün- dung, warum der angefochtene Entscheid falsch ist und deshalb abgeändert wer- den muss, die formellen Anforderungen an die Beschwerde nicht erfüllt, und zwar selbst unter Berücksichtigung, dass es sich um eine Laieneingabe handelt. Auf die Beschwerde ist demzufolge nicht einzutreten.</w:t>
      </w:r>
    </w:p>
    <w:p>
      <w:r>
        <w:rPr>
          <w:b/>
        </w:rPr>
        <w:t>E. 7</w:t>
      </w:r>
    </w:p>
    <w:p>
      <w:r>
        <w:t>/ 9 alsdann weder den Zahlungsausstand noch, dass sie innert der angesetzten Frist die Ausstände nicht beglichen hat (vgl. act. A.1; RG act. IV.2-6). Nach Ablauf der 30-tägigen Zahlungsfrist kündigte die Beschwerdegegnerin mit amtlichem Formu- lar für die Kündigung von Wohn- und Geschäftsräumen durch den Vermieter des Kantons Graubünden vom 18. Oktober 2023 unter Wahrung der 30-tägigen Kün- digungsfrist gemäss Art. 257d Abs. 2 OR das Mietverhältnis mit der Beschwerde- führerin auf den 30. November 2023, das Ende eines Monats (RG act. II.1.5). Die Kündigung wurde der Beschwerdeführerin am 19. Oktober 2023 zur Abholung gemeldet (RG act. II.1.5, Anhang). Gemäss der – nunmehr auf die Kündigung an- wendbaren – absoluten Empfangstheorie galt die Kündigung der Beschwerdefüh- rerin somit am 20. Oktober 2023 als zugestellt (BGE 143 III 15 E. 4.1). Die dreima- lige Verlängerung der Abholfrist durch die Beschwerdeführerin bleibt wiederum unbeachtlich. Die Kündigung erweist sich mithin als form-, frist- und termingerecht. Nach Beendigung des Mietverhältnisses kann der Vermieter die Rückgabe der Sache verlangen, indem er sein Eigentumsrecht nach Art. 641 Abs. 2 ZGB oder einen vertraglichen Rückgabeanspruch gemäss Art. 267 OR geltend macht. Ver- weigert der Mieter die Rückgabe der Immobilie, kann der Vermieter seinen Rück- gabeanspruch durch Ausweisung und amtliche Räumung vollstrecken lassen. Nach dem Gesagten verfügt die Beschwerdegegnerin mit der Vorinstanz über ei- nen Ausweisungsanspruch (act. E.1; vorstehend E. 3.1). Im Übrigen zeigte sich die Beschwerdegegnerin im Hinblick auf die Einleitung des Ausweisungsverfah- rens bereits äusserst kulant (Ausstand des Mietzinses ab August 2023; betr. Schlichtungsverfahren vgl. BGE 141 III 262 sowie nachstehend E. 4.3).</w:t>
      </w:r>
    </w:p>
    <w:p>
      <w:r>
        <w:rPr>
          <w:b/>
        </w:rPr>
        <w:t>E. 8</w:t>
      </w:r>
    </w:p>
    <w:p>
      <w:r>
        <w:t>/ 9 5. Bei vorliegendem Ergebnis und angesichts der Tatsache, dass die Räu- mungsfrist bereits heute abläuft, rechtfertigt es sich nicht, die Frist zur Leistung des Kostenvorschusses abzuwarten (vgl. act. D.2). Der Beschwerdeführerin ist die Frist zur Leistung eines Kostenvorschusses mit dem vorliegenden Endentscheid daher abzunehmen. 6. Die Entscheidgebühr für das Beschwerdeverfahren ist auf CHF 500.00 fest- zusetzen (Art. 10 Abs. 1 i.V.m. Art. 13 Abs. 1 VGZ [BR 320.210]) und ausgangs- gemäss der Beschwerdeführerin aufzuerlegen (Art. 106 Abs. 1 ZPO). Parteien- tschädigungen werden keine zugesprochen, zumal von der Beschwerdegegnerin keine Beschwerdeantwort eingeholt wurde. 7. Nachdem sich die Beschwerde als offensichtlich unbegründet erweist, er- geht der vorliegende Entscheid in einzelrichterlicher Kompetenz (Art. 18 Abs. 3 GOG [BR 173.000] und Art. 7 Abs. 2 lit. b EGzZPO [BR 320.100]).</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